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1AD7" w14:textId="77777777" w:rsidR="003A48CD"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2BFE6E38" w14:textId="77777777" w:rsidR="003A48CD"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September 27, 2024</w:t>
      </w:r>
    </w:p>
    <w:p w14:paraId="5AD71217" w14:textId="77777777" w:rsidR="003A48CD" w:rsidRDefault="003A48CD">
      <w:pPr>
        <w:spacing w:line="480" w:lineRule="auto"/>
        <w:ind w:firstLine="540"/>
        <w:rPr>
          <w:rFonts w:ascii="Times New Roman" w:eastAsia="Times New Roman" w:hAnsi="Times New Roman" w:cs="Times New Roman"/>
          <w:sz w:val="24"/>
          <w:szCs w:val="24"/>
        </w:rPr>
      </w:pPr>
    </w:p>
    <w:p w14:paraId="07DDDB98" w14:textId="77777777" w:rsidR="003A48CD"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September 27,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240.31</w:t>
      </w:r>
    </w:p>
    <w:p w14:paraId="653E0486" w14:textId="04F380E5" w:rsidR="003A48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1.21% increase from the week prior. The S&amp;P 500 increased this week by 0.62% from 5,702.55 to 5,738.17. The Dow Jones </w:t>
      </w:r>
      <w:r w:rsidR="00D512DE">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increased this past week by 0.59% from 42,063.36 to 42,313.00. Year to date, the HSI has grown by 5.80%, while the S&amp;P 500 has grown by 20.30% and the Dow Jones Industrial Average has grown by 12.27%.</w:t>
      </w:r>
    </w:p>
    <w:p w14:paraId="17406C43" w14:textId="77777777" w:rsidR="003A48CD"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D86092E" w14:textId="77777777" w:rsidR="003A48CD"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3A1ADE16" w14:textId="051D18C3" w:rsidR="003A48CD"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September 27, 2024, the stock with the greatest percentage increase was Northeast Bank (NBN). NBN saw a 9.90% increase during the past week, as its share price jumped from $69.87 to $76.79. Some speculation on this growth may point towards a report earlier this week on 9/24 that the </w:t>
      </w:r>
      <w:r w:rsidR="00D512DE">
        <w:rPr>
          <w:rFonts w:ascii="Times New Roman" w:eastAsia="Times New Roman" w:hAnsi="Times New Roman" w:cs="Times New Roman"/>
          <w:sz w:val="24"/>
          <w:szCs w:val="24"/>
        </w:rPr>
        <w:t>full-service</w:t>
      </w:r>
      <w:r>
        <w:rPr>
          <w:rFonts w:ascii="Times New Roman" w:eastAsia="Times New Roman" w:hAnsi="Times New Roman" w:cs="Times New Roman"/>
          <w:sz w:val="24"/>
          <w:szCs w:val="24"/>
        </w:rPr>
        <w:t xml:space="preserve"> bank had topped $805 million in purchases of commercial real estate loans since June 30th of this year. This number represents the second-largest purchase within a quarter in the firm’s existence, strengthening the idea that they are a very reliable counterparty in the loan business. This news may point to strong belief from this firm in the future of the commercial real estate industry</w:t>
      </w:r>
      <w:r w:rsidR="00D512DE">
        <w:rPr>
          <w:rFonts w:ascii="Times New Roman" w:eastAsia="Times New Roman" w:hAnsi="Times New Roman" w:cs="Times New Roman"/>
          <w:sz w:val="24"/>
          <w:szCs w:val="24"/>
        </w:rPr>
        <w:t xml:space="preserve"> in Maine</w:t>
      </w:r>
      <w:r>
        <w:rPr>
          <w:rFonts w:ascii="Times New Roman" w:eastAsia="Times New Roman" w:hAnsi="Times New Roman" w:cs="Times New Roman"/>
          <w:sz w:val="24"/>
          <w:szCs w:val="24"/>
        </w:rPr>
        <w:t xml:space="preserve">, as they continue to expand and diversify their portfolio through commercial lending. As with any high value loan, the company must see minimal risk or high investor confidence in themselves </w:t>
      </w:r>
      <w:r w:rsidR="00D512D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D512DE">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real estate market as we close out 2024. The second largest increase within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for the week of September 27,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was United Parcel Service, Inc. (UPS). UPS saw a gain of 4.39% in its share price this week, as it rose from $128.62 to $134.26 per share. We might speculate that boosts in UPS</w:t>
      </w:r>
      <w:r w:rsidR="00D512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shares once again come from investors trying to jump on the wagon at the right time, as this week, </w:t>
      </w:r>
      <w:r w:rsidR="009A074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heir rival delivery giant FedEx (FDX) released a mostly disappointing Q3 report. The </w:t>
      </w:r>
      <w:r>
        <w:rPr>
          <w:rFonts w:ascii="Times New Roman" w:eastAsia="Times New Roman" w:hAnsi="Times New Roman" w:cs="Times New Roman"/>
          <w:sz w:val="24"/>
          <w:szCs w:val="24"/>
        </w:rPr>
        <w:lastRenderedPageBreak/>
        <w:t xml:space="preserve">report published on 9/23 included that it missed its sales number by 2% compared to its expectations. Zacks, a very reputable source, was off by 25% on their respective sales estimate for FedEx. UPS has its next earnings report due in </w:t>
      </w:r>
      <w:r w:rsidR="009A074B">
        <w:rPr>
          <w:rFonts w:ascii="Times New Roman" w:eastAsia="Times New Roman" w:hAnsi="Times New Roman" w:cs="Times New Roman"/>
          <w:sz w:val="24"/>
          <w:szCs w:val="24"/>
        </w:rPr>
        <w:t>mid-October</w:t>
      </w:r>
      <w:r>
        <w:rPr>
          <w:rFonts w:ascii="Times New Roman" w:eastAsia="Times New Roman" w:hAnsi="Times New Roman" w:cs="Times New Roman"/>
          <w:sz w:val="24"/>
          <w:szCs w:val="24"/>
        </w:rPr>
        <w:t>, so some movement may accompany that</w:t>
      </w:r>
      <w:r w:rsidR="00E2401C">
        <w:rPr>
          <w:rFonts w:ascii="Times New Roman" w:eastAsia="Times New Roman" w:hAnsi="Times New Roman" w:cs="Times New Roman"/>
          <w:sz w:val="24"/>
          <w:szCs w:val="24"/>
        </w:rPr>
        <w:t>.</w:t>
      </w:r>
      <w:r w:rsidR="009A074B">
        <w:rPr>
          <w:rFonts w:ascii="Times New Roman" w:eastAsia="Times New Roman" w:hAnsi="Times New Roman" w:cs="Times New Roman"/>
          <w:sz w:val="24"/>
          <w:szCs w:val="24"/>
        </w:rPr>
        <w:t xml:space="preserve"> </w:t>
      </w:r>
      <w:r w:rsidR="00E2401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ut for now, there may be some correlation between a disappointing report in a rival company and the increase in UPS this week. In other news pertaining to this future report, it is expected that UPS will report a 3.8% increase year over year in their earnings per share, bringing that number up to $1.63 per share. UPS also made it on Insider Monkey’s </w:t>
      </w:r>
      <w:r>
        <w:rPr>
          <w:rFonts w:ascii="Times New Roman" w:eastAsia="Times New Roman" w:hAnsi="Times New Roman" w:cs="Times New Roman"/>
          <w:i/>
          <w:sz w:val="24"/>
          <w:szCs w:val="24"/>
        </w:rPr>
        <w:t xml:space="preserve">13 Most Undervalued </w:t>
      </w:r>
      <w:proofErr w:type="gramStart"/>
      <w:r>
        <w:rPr>
          <w:rFonts w:ascii="Times New Roman" w:eastAsia="Times New Roman" w:hAnsi="Times New Roman" w:cs="Times New Roman"/>
          <w:i/>
          <w:sz w:val="24"/>
          <w:szCs w:val="24"/>
        </w:rPr>
        <w:t>Blue Chip</w:t>
      </w:r>
      <w:proofErr w:type="gramEnd"/>
      <w:r>
        <w:rPr>
          <w:rFonts w:ascii="Times New Roman" w:eastAsia="Times New Roman" w:hAnsi="Times New Roman" w:cs="Times New Roman"/>
          <w:i/>
          <w:sz w:val="24"/>
          <w:szCs w:val="24"/>
        </w:rPr>
        <w:t xml:space="preserve"> Stocks To Buy Right Now, According to Analysts.</w:t>
      </w:r>
      <w:r>
        <w:rPr>
          <w:rFonts w:ascii="Times New Roman" w:eastAsia="Times New Roman" w:hAnsi="Times New Roman" w:cs="Times New Roman"/>
          <w:sz w:val="24"/>
          <w:szCs w:val="24"/>
        </w:rPr>
        <w:t xml:space="preserve"> Earlier this week on 9/25, Insider Monkey raved about the company’s recent acquisition of </w:t>
      </w:r>
      <w:proofErr w:type="spellStart"/>
      <w:r>
        <w:rPr>
          <w:rFonts w:ascii="Times New Roman" w:eastAsia="Times New Roman" w:hAnsi="Times New Roman" w:cs="Times New Roman"/>
          <w:sz w:val="24"/>
          <w:szCs w:val="24"/>
        </w:rPr>
        <w:t>Estafeta</w:t>
      </w:r>
      <w:proofErr w:type="spellEnd"/>
      <w:r>
        <w:rPr>
          <w:rFonts w:ascii="Times New Roman" w:eastAsia="Times New Roman" w:hAnsi="Times New Roman" w:cs="Times New Roman"/>
          <w:sz w:val="24"/>
          <w:szCs w:val="24"/>
        </w:rPr>
        <w:t xml:space="preserve">, a logistics company offering freight forwarding solutions out of Mexico, increasing their presence on the </w:t>
      </w:r>
      <w:r w:rsidR="00E2401C">
        <w:rPr>
          <w:rFonts w:ascii="Times New Roman" w:eastAsia="Times New Roman" w:hAnsi="Times New Roman" w:cs="Times New Roman"/>
          <w:sz w:val="24"/>
          <w:szCs w:val="24"/>
        </w:rPr>
        <w:t>worldwide</w:t>
      </w:r>
      <w:r>
        <w:rPr>
          <w:rFonts w:ascii="Times New Roman" w:eastAsia="Times New Roman" w:hAnsi="Times New Roman" w:cs="Times New Roman"/>
          <w:sz w:val="24"/>
          <w:szCs w:val="24"/>
        </w:rPr>
        <w:t xml:space="preserve"> scale. They also signed an air cargo contract with country leader USPS, making UPS their lead provider in air transport.</w:t>
      </w:r>
    </w:p>
    <w:p w14:paraId="33C6CA8F" w14:textId="20ED05BA" w:rsidR="003A48CD" w:rsidRDefault="00000000">
      <w:pPr>
        <w:spacing w:after="80"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This week, the stock with the largest percentage decline was PENN Entertainment, Inc. (PENN). PENN share prices dropped by 3.98% this week. Its share price as of 9/27 was $19.28 per share compared to its closing the week previous on 9/20 at $20.08 per share. This comes after just two weeks ago PENN held our position of the biggest upward growth for the week of 9/6 - 9/13. There has been very little news published this week for the company, so one may speculate that their performance was merely a result of this stock cooling down after heating up for the past couple of weeks. Investors have reported a price target of $16 for PENN which is under the current price of $19.28 per share, so more decline may be ahead in the short term if this report is accurate. However, the S&amp;P 500 Casinos and Gaming Index did trend higher as it saw a 13.76% increase this week, so do keep an eye on this one long term. The second largest percentage decline this week occurred for Bar Harbor Bank Shares (BHB). This local position’s </w:t>
      </w:r>
      <w:r>
        <w:rPr>
          <w:rFonts w:ascii="Times New Roman" w:eastAsia="Times New Roman" w:hAnsi="Times New Roman" w:cs="Times New Roman"/>
          <w:sz w:val="24"/>
          <w:szCs w:val="24"/>
        </w:rPr>
        <w:lastRenderedPageBreak/>
        <w:t>share price dropped from $31.31 to $30.20 per share, a 3.</w:t>
      </w:r>
      <w:r w:rsidR="00740FAB">
        <w:rPr>
          <w:rFonts w:ascii="Times New Roman" w:eastAsia="Times New Roman" w:hAnsi="Times New Roman" w:cs="Times New Roman"/>
          <w:sz w:val="24"/>
          <w:szCs w:val="24"/>
        </w:rPr>
        <w:t>4</w:t>
      </w:r>
      <w:r>
        <w:rPr>
          <w:rFonts w:ascii="Times New Roman" w:eastAsia="Times New Roman" w:hAnsi="Times New Roman" w:cs="Times New Roman"/>
          <w:sz w:val="24"/>
          <w:szCs w:val="24"/>
        </w:rPr>
        <w:t>5% decrease.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4"/>
          <w:szCs w:val="24"/>
        </w:rPr>
        <w:t xml:space="preserve">No recent news has </w:t>
      </w:r>
      <w:r w:rsidR="00740FA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merged out of this company in over 2 months, so </w:t>
      </w:r>
      <w:r w:rsidR="00740FAB">
        <w:rPr>
          <w:rFonts w:ascii="Times New Roman" w:eastAsia="Times New Roman" w:hAnsi="Times New Roman" w:cs="Times New Roman"/>
          <w:sz w:val="24"/>
          <w:szCs w:val="24"/>
        </w:rPr>
        <w:t>we might speculate that</w:t>
      </w:r>
      <w:r>
        <w:rPr>
          <w:rFonts w:ascii="Times New Roman" w:eastAsia="Times New Roman" w:hAnsi="Times New Roman" w:cs="Times New Roman"/>
          <w:sz w:val="24"/>
          <w:szCs w:val="24"/>
        </w:rPr>
        <w:t xml:space="preserve"> that they are still suffering from the effects of their disappointing Q2 report. This report included the details that their earnings of $0.66 per share is still down from last year's number of $0.71 per share. They also missed Zacks’ consensus estimate of this measure. Zacks has maintained a </w:t>
      </w:r>
      <w:r>
        <w:rPr>
          <w:rFonts w:ascii="Times New Roman" w:eastAsia="Times New Roman" w:hAnsi="Times New Roman" w:cs="Times New Roman"/>
          <w:b/>
          <w:sz w:val="24"/>
          <w:szCs w:val="24"/>
        </w:rPr>
        <w:t>SELL</w:t>
      </w:r>
      <w:r>
        <w:rPr>
          <w:rFonts w:ascii="Times New Roman" w:eastAsia="Times New Roman" w:hAnsi="Times New Roman" w:cs="Times New Roman"/>
          <w:sz w:val="24"/>
          <w:szCs w:val="24"/>
        </w:rPr>
        <w:t xml:space="preserve"> position in their analysis of this stock.</w:t>
      </w:r>
      <w:r>
        <w:rPr>
          <w:rFonts w:ascii="Times New Roman" w:eastAsia="Times New Roman" w:hAnsi="Times New Roman" w:cs="Times New Roman"/>
          <w:b/>
          <w:sz w:val="18"/>
          <w:szCs w:val="18"/>
        </w:rPr>
        <w:t xml:space="preserve">                                                 </w:t>
      </w:r>
    </w:p>
    <w:p w14:paraId="6C559E3F" w14:textId="77777777" w:rsidR="003A48CD" w:rsidRDefault="00000000">
      <w:pPr>
        <w:spacing w:after="80"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2BA4CFF9" w14:textId="77777777" w:rsidR="003A48CD"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6CCB4B50" w14:textId="77777777" w:rsidR="003A48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4E151D52" w14:textId="77777777" w:rsidR="003A48CD"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1B12A3CA" w14:textId="77777777" w:rsidR="003A48CD" w:rsidRDefault="003A48CD">
      <w:pPr>
        <w:jc w:val="right"/>
        <w:rPr>
          <w:rFonts w:ascii="Times New Roman" w:eastAsia="Times New Roman" w:hAnsi="Times New Roman" w:cs="Times New Roman"/>
          <w:i/>
          <w:sz w:val="18"/>
          <w:szCs w:val="18"/>
        </w:rPr>
      </w:pPr>
    </w:p>
    <w:p w14:paraId="35223D6C" w14:textId="77777777" w:rsidR="003A48CD" w:rsidRDefault="003A48CD">
      <w:pPr>
        <w:jc w:val="right"/>
        <w:rPr>
          <w:rFonts w:ascii="Times New Roman" w:eastAsia="Times New Roman" w:hAnsi="Times New Roman" w:cs="Times New Roman"/>
          <w:i/>
          <w:sz w:val="18"/>
          <w:szCs w:val="18"/>
        </w:rPr>
      </w:pPr>
    </w:p>
    <w:p w14:paraId="7D9B252F" w14:textId="77777777" w:rsidR="003A48CD" w:rsidRDefault="003A48CD">
      <w:pPr>
        <w:jc w:val="center"/>
        <w:rPr>
          <w:rFonts w:ascii="Times New Roman" w:eastAsia="Times New Roman" w:hAnsi="Times New Roman" w:cs="Times New Roman"/>
          <w:i/>
          <w:sz w:val="24"/>
          <w:szCs w:val="24"/>
        </w:rPr>
      </w:pPr>
    </w:p>
    <w:p w14:paraId="43EE6AD1" w14:textId="77777777" w:rsidR="003A48CD" w:rsidRDefault="003A48CD">
      <w:pPr>
        <w:jc w:val="center"/>
        <w:rPr>
          <w:rFonts w:ascii="Times New Roman" w:eastAsia="Times New Roman" w:hAnsi="Times New Roman" w:cs="Times New Roman"/>
          <w:i/>
          <w:sz w:val="24"/>
          <w:szCs w:val="24"/>
        </w:rPr>
      </w:pPr>
    </w:p>
    <w:p w14:paraId="2C84BF99" w14:textId="77777777" w:rsidR="003A48CD" w:rsidRDefault="003A48CD">
      <w:pPr>
        <w:jc w:val="center"/>
        <w:rPr>
          <w:rFonts w:ascii="Times New Roman" w:eastAsia="Times New Roman" w:hAnsi="Times New Roman" w:cs="Times New Roman"/>
          <w:i/>
          <w:sz w:val="24"/>
          <w:szCs w:val="24"/>
        </w:rPr>
      </w:pPr>
    </w:p>
    <w:p w14:paraId="7BB72B18" w14:textId="77777777" w:rsidR="003A48CD" w:rsidRDefault="003A48CD">
      <w:pPr>
        <w:jc w:val="center"/>
        <w:rPr>
          <w:rFonts w:ascii="Times New Roman" w:eastAsia="Times New Roman" w:hAnsi="Times New Roman" w:cs="Times New Roman"/>
          <w:i/>
          <w:sz w:val="24"/>
          <w:szCs w:val="24"/>
        </w:rPr>
      </w:pPr>
    </w:p>
    <w:p w14:paraId="3CFD21BE" w14:textId="77777777" w:rsidR="003A48CD" w:rsidRDefault="003A48CD">
      <w:pPr>
        <w:jc w:val="center"/>
        <w:rPr>
          <w:rFonts w:ascii="Times New Roman" w:eastAsia="Times New Roman" w:hAnsi="Times New Roman" w:cs="Times New Roman"/>
          <w:i/>
          <w:sz w:val="24"/>
          <w:szCs w:val="24"/>
        </w:rPr>
      </w:pPr>
    </w:p>
    <w:p w14:paraId="560450C3" w14:textId="77777777" w:rsidR="003A48CD" w:rsidRDefault="003A48CD">
      <w:pPr>
        <w:jc w:val="center"/>
        <w:rPr>
          <w:rFonts w:ascii="Times New Roman" w:eastAsia="Times New Roman" w:hAnsi="Times New Roman" w:cs="Times New Roman"/>
          <w:i/>
          <w:sz w:val="24"/>
          <w:szCs w:val="24"/>
        </w:rPr>
      </w:pPr>
    </w:p>
    <w:p w14:paraId="7E9B2167" w14:textId="77777777" w:rsidR="003A48CD" w:rsidRDefault="003A48CD">
      <w:pPr>
        <w:jc w:val="center"/>
        <w:rPr>
          <w:rFonts w:ascii="Times New Roman" w:eastAsia="Times New Roman" w:hAnsi="Times New Roman" w:cs="Times New Roman"/>
          <w:i/>
          <w:sz w:val="24"/>
          <w:szCs w:val="24"/>
        </w:rPr>
      </w:pPr>
    </w:p>
    <w:p w14:paraId="205D6115" w14:textId="77777777" w:rsidR="003A48CD" w:rsidRDefault="003A48CD">
      <w:pPr>
        <w:jc w:val="center"/>
        <w:rPr>
          <w:rFonts w:ascii="Times New Roman" w:eastAsia="Times New Roman" w:hAnsi="Times New Roman" w:cs="Times New Roman"/>
          <w:i/>
          <w:sz w:val="24"/>
          <w:szCs w:val="24"/>
        </w:rPr>
      </w:pPr>
    </w:p>
    <w:p w14:paraId="3962356D" w14:textId="77777777" w:rsidR="003A48CD" w:rsidRDefault="003A48CD">
      <w:pPr>
        <w:jc w:val="center"/>
        <w:rPr>
          <w:rFonts w:ascii="Times New Roman" w:eastAsia="Times New Roman" w:hAnsi="Times New Roman" w:cs="Times New Roman"/>
          <w:i/>
          <w:sz w:val="24"/>
          <w:szCs w:val="24"/>
        </w:rPr>
      </w:pPr>
    </w:p>
    <w:p w14:paraId="7048C150" w14:textId="77777777" w:rsidR="003A48CD" w:rsidRDefault="003A48CD" w:rsidP="009A074B">
      <w:pPr>
        <w:rPr>
          <w:rFonts w:ascii="Times New Roman" w:eastAsia="Times New Roman" w:hAnsi="Times New Roman" w:cs="Times New Roman"/>
          <w:i/>
          <w:sz w:val="24"/>
          <w:szCs w:val="24"/>
        </w:rPr>
      </w:pPr>
    </w:p>
    <w:p w14:paraId="322D165F" w14:textId="77777777" w:rsidR="003A48CD" w:rsidRDefault="003A48CD">
      <w:pPr>
        <w:jc w:val="center"/>
        <w:rPr>
          <w:rFonts w:ascii="Times New Roman" w:eastAsia="Times New Roman" w:hAnsi="Times New Roman" w:cs="Times New Roman"/>
          <w:i/>
          <w:sz w:val="24"/>
          <w:szCs w:val="24"/>
        </w:rPr>
      </w:pPr>
    </w:p>
    <w:p w14:paraId="06BFFB2E" w14:textId="77777777" w:rsidR="003A48CD"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0E13BDD3" w14:textId="77777777" w:rsidR="003A48CD" w:rsidRDefault="003A48CD">
      <w:pPr>
        <w:jc w:val="center"/>
        <w:rPr>
          <w:rFonts w:ascii="Times New Roman" w:eastAsia="Times New Roman" w:hAnsi="Times New Roman" w:cs="Times New Roman"/>
          <w:i/>
          <w:sz w:val="24"/>
          <w:szCs w:val="24"/>
        </w:rPr>
      </w:pPr>
    </w:p>
    <w:p w14:paraId="2665FE47" w14:textId="77777777" w:rsidR="003A48CD"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Azfal</w:t>
      </w:r>
      <w:proofErr w:type="spellEnd"/>
      <w:r>
        <w:rPr>
          <w:rFonts w:ascii="Times New Roman" w:eastAsia="Times New Roman" w:hAnsi="Times New Roman" w:cs="Times New Roman"/>
          <w:sz w:val="24"/>
          <w:szCs w:val="24"/>
        </w:rPr>
        <w:t xml:space="preserve">, M. (2024, September 25). </w:t>
      </w:r>
      <w:r>
        <w:rPr>
          <w:rFonts w:ascii="Times New Roman" w:eastAsia="Times New Roman" w:hAnsi="Times New Roman" w:cs="Times New Roman"/>
          <w:i/>
          <w:sz w:val="24"/>
          <w:szCs w:val="24"/>
        </w:rPr>
        <w:t>United Parcel Service, Inc. (UPS): A strong buy according to analysts</w:t>
      </w:r>
      <w:r>
        <w:rPr>
          <w:rFonts w:ascii="Times New Roman" w:eastAsia="Times New Roman" w:hAnsi="Times New Roman" w:cs="Times New Roman"/>
          <w:sz w:val="24"/>
          <w:szCs w:val="24"/>
        </w:rPr>
        <w:t xml:space="preserve">. Yahoo! Finance. https://finance.yahoo.com/news/united-parcel-inc-ups-strong-041052086.html </w:t>
      </w:r>
    </w:p>
    <w:p w14:paraId="31D8AD3B" w14:textId="77777777" w:rsidR="003A48CD"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Globe </w:t>
      </w:r>
      <w:proofErr w:type="spellStart"/>
      <w:r>
        <w:rPr>
          <w:rFonts w:ascii="Times New Roman" w:eastAsia="Times New Roman" w:hAnsi="Times New Roman" w:cs="Times New Roman"/>
          <w:sz w:val="24"/>
          <w:szCs w:val="24"/>
        </w:rPr>
        <w:t>NewsWire</w:t>
      </w:r>
      <w:proofErr w:type="spellEnd"/>
      <w:r>
        <w:rPr>
          <w:rFonts w:ascii="Times New Roman" w:eastAsia="Times New Roman" w:hAnsi="Times New Roman" w:cs="Times New Roman"/>
          <w:sz w:val="24"/>
          <w:szCs w:val="24"/>
        </w:rPr>
        <w:t xml:space="preserve">. (2024, September 24). </w:t>
      </w:r>
      <w:r>
        <w:rPr>
          <w:rFonts w:ascii="Times New Roman" w:eastAsia="Times New Roman" w:hAnsi="Times New Roman" w:cs="Times New Roman"/>
          <w:i/>
          <w:sz w:val="24"/>
          <w:szCs w:val="24"/>
        </w:rPr>
        <w:t>Northeast Bank Announces Significant Loan Purchase Volume</w:t>
      </w:r>
      <w:r>
        <w:rPr>
          <w:rFonts w:ascii="Times New Roman" w:eastAsia="Times New Roman" w:hAnsi="Times New Roman" w:cs="Times New Roman"/>
          <w:sz w:val="24"/>
          <w:szCs w:val="24"/>
        </w:rPr>
        <w:t xml:space="preserve">. Yahoo! Finance. https://finance.yahoo.com/news/northeast-bank-announces-significant-loan-123000904.html </w:t>
      </w:r>
    </w:p>
    <w:p w14:paraId="607A7631" w14:textId="77777777" w:rsidR="003A48CD"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D. (2024, September 23). </w:t>
      </w:r>
      <w:r>
        <w:rPr>
          <w:rFonts w:ascii="Times New Roman" w:eastAsia="Times New Roman" w:hAnsi="Times New Roman" w:cs="Times New Roman"/>
          <w:i/>
          <w:sz w:val="24"/>
          <w:szCs w:val="24"/>
        </w:rPr>
        <w:t xml:space="preserve">What’s going on with </w:t>
      </w:r>
      <w:proofErr w:type="spellStart"/>
      <w:r>
        <w:rPr>
          <w:rFonts w:ascii="Times New Roman" w:eastAsia="Times New Roman" w:hAnsi="Times New Roman" w:cs="Times New Roman"/>
          <w:i/>
          <w:sz w:val="24"/>
          <w:szCs w:val="24"/>
        </w:rPr>
        <w:t>fedex</w:t>
      </w:r>
      <w:proofErr w:type="spellEnd"/>
      <w:r>
        <w:rPr>
          <w:rFonts w:ascii="Times New Roman" w:eastAsia="Times New Roman" w:hAnsi="Times New Roman" w:cs="Times New Roman"/>
          <w:i/>
          <w:sz w:val="24"/>
          <w:szCs w:val="24"/>
        </w:rPr>
        <w:t xml:space="preserve"> shares?</w:t>
      </w:r>
      <w:r>
        <w:rPr>
          <w:rFonts w:ascii="Times New Roman" w:eastAsia="Times New Roman" w:hAnsi="Times New Roman" w:cs="Times New Roman"/>
          <w:sz w:val="24"/>
          <w:szCs w:val="24"/>
        </w:rPr>
        <w:t xml:space="preserve"> Yahoo! Finance. https://finance.yahoo.com/news/whats-going-fedex-shares-224400586.html </w:t>
      </w:r>
    </w:p>
    <w:p w14:paraId="551513C3" w14:textId="77777777" w:rsidR="003A48CD"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SP381 | S&amp;P 500 casinos &amp; gaming sub industry index overview | </w:t>
      </w:r>
      <w:proofErr w:type="spellStart"/>
      <w:r>
        <w:rPr>
          <w:rFonts w:ascii="Times New Roman" w:eastAsia="Times New Roman" w:hAnsi="Times New Roman" w:cs="Times New Roman"/>
          <w:i/>
          <w:sz w:val="24"/>
          <w:szCs w:val="24"/>
        </w:rPr>
        <w:t>marketwatch</w:t>
      </w:r>
      <w:proofErr w:type="spellEnd"/>
      <w:r>
        <w:rPr>
          <w:rFonts w:ascii="Times New Roman" w:eastAsia="Times New Roman" w:hAnsi="Times New Roman" w:cs="Times New Roman"/>
          <w:sz w:val="24"/>
          <w:szCs w:val="24"/>
        </w:rPr>
        <w:t xml:space="preserve">. MarketWatch. (2024, September 27). https://www.marketwatch.com/investing/index/sp381?countrycode=xx </w:t>
      </w:r>
    </w:p>
    <w:p w14:paraId="24A3F124" w14:textId="77777777" w:rsidR="003A48CD"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(2024, July 18). </w:t>
      </w:r>
      <w:r>
        <w:rPr>
          <w:rFonts w:ascii="Times New Roman" w:eastAsia="Times New Roman" w:hAnsi="Times New Roman" w:cs="Times New Roman"/>
          <w:i/>
          <w:sz w:val="24"/>
          <w:szCs w:val="24"/>
        </w:rPr>
        <w:t xml:space="preserve">Bar Harbor </w:t>
      </w:r>
      <w:proofErr w:type="spellStart"/>
      <w:r>
        <w:rPr>
          <w:rFonts w:ascii="Times New Roman" w:eastAsia="Times New Roman" w:hAnsi="Times New Roman" w:cs="Times New Roman"/>
          <w:i/>
          <w:sz w:val="24"/>
          <w:szCs w:val="24"/>
        </w:rPr>
        <w:t>Bankshares</w:t>
      </w:r>
      <w:proofErr w:type="spellEnd"/>
      <w:r>
        <w:rPr>
          <w:rFonts w:ascii="Times New Roman" w:eastAsia="Times New Roman" w:hAnsi="Times New Roman" w:cs="Times New Roman"/>
          <w:i/>
          <w:sz w:val="24"/>
          <w:szCs w:val="24"/>
        </w:rPr>
        <w:t xml:space="preserve"> (BHB) Q2 earnings miss estimates</w:t>
      </w:r>
      <w:r>
        <w:rPr>
          <w:rFonts w:ascii="Times New Roman" w:eastAsia="Times New Roman" w:hAnsi="Times New Roman" w:cs="Times New Roman"/>
          <w:sz w:val="24"/>
          <w:szCs w:val="24"/>
        </w:rPr>
        <w:t xml:space="preserve">. Yahoo! Finance. https://finance.yahoo.com/news/bar-harbor-bankshares-bhb-q2-213003750.html </w:t>
      </w:r>
    </w:p>
    <w:p w14:paraId="4066A8A0" w14:textId="77777777" w:rsidR="003A48CD"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(2024, September 26). </w:t>
      </w:r>
      <w:r>
        <w:rPr>
          <w:rFonts w:ascii="Times New Roman" w:eastAsia="Times New Roman" w:hAnsi="Times New Roman" w:cs="Times New Roman"/>
          <w:i/>
          <w:sz w:val="24"/>
          <w:szCs w:val="24"/>
        </w:rPr>
        <w:t xml:space="preserve">Is Trending Stock United Parcel Service, Inc. (UPS) a buy </w:t>
      </w:r>
      <w:proofErr w:type="gramStart"/>
      <w:r>
        <w:rPr>
          <w:rFonts w:ascii="Times New Roman" w:eastAsia="Times New Roman" w:hAnsi="Times New Roman" w:cs="Times New Roman"/>
          <w:i/>
          <w:sz w:val="24"/>
          <w:szCs w:val="24"/>
        </w:rPr>
        <w:t>now?</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https://finance.yahoo.com/news/trending-stock-united-parcel-inc-130012506.html </w:t>
      </w:r>
    </w:p>
    <w:p w14:paraId="3D5FE4F5" w14:textId="77777777" w:rsidR="003A48CD" w:rsidRDefault="003A48CD">
      <w:pPr>
        <w:spacing w:before="240" w:after="240"/>
        <w:ind w:left="580" w:hanging="20"/>
        <w:rPr>
          <w:rFonts w:ascii="Times New Roman" w:eastAsia="Times New Roman" w:hAnsi="Times New Roman" w:cs="Times New Roman"/>
          <w:i/>
          <w:sz w:val="24"/>
          <w:szCs w:val="24"/>
        </w:rPr>
      </w:pPr>
    </w:p>
    <w:p w14:paraId="22DF54E3" w14:textId="77777777" w:rsidR="003A48CD" w:rsidRDefault="003A48CD">
      <w:pPr>
        <w:rPr>
          <w:rFonts w:ascii="Times New Roman" w:eastAsia="Times New Roman" w:hAnsi="Times New Roman" w:cs="Times New Roman"/>
          <w:sz w:val="24"/>
          <w:szCs w:val="24"/>
        </w:rPr>
      </w:pPr>
    </w:p>
    <w:p w14:paraId="6CC83FAF" w14:textId="77777777" w:rsidR="003A48CD"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594017C1" w14:textId="77777777" w:rsidR="003A48CD" w:rsidRDefault="003A48CD">
      <w:pPr>
        <w:spacing w:after="200"/>
        <w:rPr>
          <w:rFonts w:ascii="Times New Roman" w:eastAsia="Times New Roman" w:hAnsi="Times New Roman" w:cs="Times New Roman"/>
          <w:b/>
          <w:sz w:val="24"/>
          <w:szCs w:val="24"/>
        </w:rPr>
      </w:pPr>
    </w:p>
    <w:p w14:paraId="0ADC38A2" w14:textId="77777777" w:rsidR="003A48CD" w:rsidRDefault="003A48CD">
      <w:pPr>
        <w:spacing w:after="200"/>
        <w:rPr>
          <w:rFonts w:ascii="Times New Roman" w:eastAsia="Times New Roman" w:hAnsi="Times New Roman" w:cs="Times New Roman"/>
          <w:b/>
          <w:sz w:val="24"/>
          <w:szCs w:val="24"/>
        </w:rPr>
      </w:pPr>
    </w:p>
    <w:p w14:paraId="3D755972" w14:textId="77777777" w:rsidR="003A48CD" w:rsidRDefault="003A48CD">
      <w:pPr>
        <w:spacing w:after="200"/>
        <w:rPr>
          <w:rFonts w:ascii="Times New Roman" w:eastAsia="Times New Roman" w:hAnsi="Times New Roman" w:cs="Times New Roman"/>
          <w:b/>
          <w:sz w:val="24"/>
          <w:szCs w:val="24"/>
        </w:rPr>
      </w:pPr>
    </w:p>
    <w:p w14:paraId="59F545E6" w14:textId="77777777" w:rsidR="003A48CD" w:rsidRDefault="003A48CD">
      <w:pPr>
        <w:spacing w:after="200"/>
        <w:rPr>
          <w:rFonts w:ascii="Times New Roman" w:eastAsia="Times New Roman" w:hAnsi="Times New Roman" w:cs="Times New Roman"/>
          <w:b/>
          <w:sz w:val="24"/>
          <w:szCs w:val="24"/>
        </w:rPr>
      </w:pPr>
    </w:p>
    <w:p w14:paraId="31878071" w14:textId="77777777" w:rsidR="003A48CD" w:rsidRDefault="003A48CD">
      <w:pPr>
        <w:spacing w:after="200"/>
        <w:ind w:left="1440" w:firstLine="720"/>
        <w:rPr>
          <w:rFonts w:ascii="Times New Roman" w:eastAsia="Times New Roman" w:hAnsi="Times New Roman" w:cs="Times New Roman"/>
          <w:b/>
          <w:sz w:val="24"/>
          <w:szCs w:val="24"/>
        </w:rPr>
      </w:pPr>
    </w:p>
    <w:p w14:paraId="36573A81" w14:textId="77777777" w:rsidR="003A48CD" w:rsidRDefault="003A48CD">
      <w:pPr>
        <w:spacing w:after="200"/>
        <w:ind w:left="1440" w:firstLine="720"/>
        <w:rPr>
          <w:rFonts w:ascii="Times New Roman" w:eastAsia="Times New Roman" w:hAnsi="Times New Roman" w:cs="Times New Roman"/>
          <w:b/>
          <w:sz w:val="24"/>
          <w:szCs w:val="24"/>
        </w:rPr>
      </w:pPr>
    </w:p>
    <w:p w14:paraId="4B6C3D55" w14:textId="77777777" w:rsidR="003A48CD" w:rsidRDefault="003A48CD">
      <w:pPr>
        <w:spacing w:after="200"/>
        <w:ind w:left="1440" w:firstLine="720"/>
        <w:rPr>
          <w:rFonts w:ascii="Times New Roman" w:eastAsia="Times New Roman" w:hAnsi="Times New Roman" w:cs="Times New Roman"/>
          <w:b/>
          <w:sz w:val="24"/>
          <w:szCs w:val="24"/>
        </w:rPr>
      </w:pPr>
    </w:p>
    <w:p w14:paraId="1279B0E3" w14:textId="77777777" w:rsidR="003A48CD"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3A48CD" w14:paraId="5D7DDB2C"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183A11F" w14:textId="77777777" w:rsidR="003A48CD"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11C905FF" w14:textId="77777777" w:rsidR="003A48CD"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67F7B20B" w14:textId="77777777" w:rsidR="003A48CD"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247648DC" w14:textId="77777777" w:rsidR="003A48CD"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8D5D2DF" w14:textId="77777777" w:rsidR="003A48CD"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6E07A2A1" w14:textId="77777777" w:rsidR="003A48CD"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5F6F0BA" w14:textId="77777777" w:rsidR="003A48CD"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3A48CD" w14:paraId="74CE7EF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4E0B6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17BE18"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E44C2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9444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3A48CD" w14:paraId="4A5EF2F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A862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2962B5"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BC79B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974C8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2CD4266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9AC79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E8B77D"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D40E0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29FCC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2023D65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D226D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28F5B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6892F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DA6A1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756F02C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E251A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630DD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15F3D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37CAE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3A48CD" w14:paraId="1EEF833C"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CACC2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0807F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26168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3AE85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A48CD" w14:paraId="724F2895"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8A486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0936D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89CD9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A1F56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0AC6C7C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D4CB9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947764"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B50EF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0D140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3DD0442A"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EC139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B73A1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3CD98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71E0F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48CD" w14:paraId="410596D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D3D054"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EC14E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EA115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A9393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12E46730"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78094D"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0990F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0BEE5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C41EF5"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2577FB8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57492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9EE152" w14:textId="77777777" w:rsidR="003A48CD"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36D37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5A68ED"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A48CD" w14:paraId="707B672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F9431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8E683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40268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12ACC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A48CD" w14:paraId="3533310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30E54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D807B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ABEEA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EFAFA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687E329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EBACD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524D6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715DF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2D861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528019D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68A074"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E05FCD"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C8174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312C6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66852CF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6C4B7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96C49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013BA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59A114"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48CD" w14:paraId="48B0F36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1B027C" w14:textId="77777777" w:rsidR="003A48CD"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3B0C91"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5DCF0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DBE370"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48CD" w14:paraId="5A02E1EE"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76038B"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72CF8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90345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343C8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005FC70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A24DF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95C2C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5E92DA"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349C5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3A48CD" w14:paraId="4B362FA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62005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B43CC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8BD23D"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0D605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48CD" w14:paraId="2A97D9D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CE8369"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4555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9BEB8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A6DDC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48CD" w14:paraId="096383F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8BE053"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2988D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74C01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FAB7A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3A48CD" w14:paraId="51963A8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C96FF8"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D95881"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253DC7"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BFF13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A48CD" w14:paraId="30C9F27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501B92"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3E714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8D78D4"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613F65"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3A48CD" w14:paraId="4BE7E53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68755C"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6B1CFF"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441C8E"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085D16" w14:textId="77777777" w:rsidR="003A48CD"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A52439B" w14:textId="77777777" w:rsidR="003A48CD" w:rsidRDefault="003A48CD"/>
    <w:p w14:paraId="60F8611B" w14:textId="77777777" w:rsidR="003A48CD" w:rsidRDefault="003A48CD"/>
    <w:p w14:paraId="33B233CF" w14:textId="77777777" w:rsidR="003A48CD" w:rsidRDefault="003A48CD"/>
    <w:sectPr w:rsidR="003A48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CD"/>
    <w:rsid w:val="003A48CD"/>
    <w:rsid w:val="00740FAB"/>
    <w:rsid w:val="009A074B"/>
    <w:rsid w:val="00D312A6"/>
    <w:rsid w:val="00D512DE"/>
    <w:rsid w:val="00E2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CF5746"/>
  <w15:docId w15:val="{ED796AAD-7D8A-944E-80C6-A81D577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512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2024-09-29T12:33:00Z</dcterms:created>
  <dcterms:modified xsi:type="dcterms:W3CDTF">2024-09-29T12:52:00Z</dcterms:modified>
</cp:coreProperties>
</file>